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16"/>
        <w:gridCol w:w="1201"/>
        <w:gridCol w:w="1127"/>
        <w:gridCol w:w="1299"/>
        <w:gridCol w:w="716"/>
        <w:gridCol w:w="1224"/>
        <w:gridCol w:w="832"/>
        <w:gridCol w:w="1284"/>
        <w:gridCol w:w="870"/>
      </w:tblGrid>
      <w:tr w:rsidR="00F867F7" w:rsidRPr="00F867F7" w:rsidTr="00F867F7">
        <w:trPr>
          <w:trHeight w:val="345"/>
          <w:tblCellSpacing w:w="7" w:type="dxa"/>
        </w:trPr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F867F7" w:rsidRPr="00F867F7" w:rsidRDefault="00CE028C" w:rsidP="00F44DD9">
            <w:pPr>
              <w:spacing w:after="0" w:line="240" w:lineRule="auto"/>
              <w:rPr>
                <w:rFonts w:ascii="Verdana" w:eastAsia="Times New Roman" w:hAnsi="Verdana" w:cs="Times New Roman"/>
                <w:color w:val="A52A2A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NUMUNE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HASTANESİ </w:t>
            </w:r>
            <w:r w:rsidR="00F867F7" w:rsidRPr="00F867F7"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>9410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 İYOT TESTİ DEĞERLENDİRMESİ</w:t>
            </w:r>
            <w:r w:rsidR="00F44DD9"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 (CHAUVENET SONRASI)</w:t>
            </w:r>
          </w:p>
        </w:tc>
      </w:tr>
      <w:tr w:rsidR="00F867F7" w:rsidRPr="00F867F7" w:rsidTr="00CE028C">
        <w:trPr>
          <w:trHeight w:val="288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Toplam Sayı: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8,087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F867F7" w:rsidRPr="00F867F7" w:rsidTr="00CE028C">
        <w:trPr>
          <w:trHeight w:val="108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Erkek Sayısı: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8,087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E. Yüz</w:t>
            </w:r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B8B"/>
                <w:sz w:val="24"/>
                <w:szCs w:val="24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%100.00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K. Sayısı: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K. Yüz</w:t>
            </w:r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B8B"/>
                <w:sz w:val="24"/>
                <w:szCs w:val="24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%0.00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F867F7" w:rsidRPr="00F867F7" w:rsidTr="00CE028C">
        <w:trPr>
          <w:trHeight w:val="295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Gr. Yaş Ort</w:t>
            </w:r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40.00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E.Yaş</w:t>
            </w:r>
            <w:proofErr w:type="spellEnd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 xml:space="preserve"> Ort.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40.00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 xml:space="preserve">K. Yaş </w:t>
            </w:r>
            <w:proofErr w:type="spell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</w:t>
            </w:r>
            <w:proofErr w:type="spellEnd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NaN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F867F7" w:rsidRPr="00F867F7" w:rsidTr="00CE028C">
        <w:trPr>
          <w:trHeight w:val="88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Ortalama: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8.758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Ortanca: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7.600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Std.Sap</w:t>
            </w:r>
            <w:proofErr w:type="spellEnd"/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5.441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Min. Değ</w:t>
            </w:r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0.760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Mak</w:t>
            </w:r>
            <w:proofErr w:type="spellEnd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 Değ</w:t>
            </w:r>
            <w:proofErr w:type="gramStart"/>
            <w:r w:rsidRPr="00F867F7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867F7" w:rsidRPr="00F867F7" w:rsidRDefault="00F867F7" w:rsidP="00F867F7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F867F7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23.920</w:t>
            </w:r>
          </w:p>
        </w:tc>
      </w:tr>
    </w:tbl>
    <w:p w:rsidR="0001561A" w:rsidRDefault="00780582">
      <w:r>
        <w:rPr>
          <w:noProof/>
          <w:lang w:eastAsia="tr-TR"/>
        </w:rPr>
        <w:drawing>
          <wp:inline distT="0" distB="0" distL="0" distR="0" wp14:anchorId="7F0034BE" wp14:editId="383F07D4">
            <wp:extent cx="6848475" cy="3888000"/>
            <wp:effectExtent l="0" t="0" r="952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851"/>
        <w:gridCol w:w="1185"/>
        <w:gridCol w:w="967"/>
        <w:gridCol w:w="1282"/>
        <w:gridCol w:w="706"/>
        <w:gridCol w:w="1208"/>
        <w:gridCol w:w="967"/>
        <w:gridCol w:w="1266"/>
        <w:gridCol w:w="859"/>
      </w:tblGrid>
      <w:tr w:rsidR="00CE028C" w:rsidRPr="00CE028C" w:rsidTr="00CE028C">
        <w:trPr>
          <w:trHeight w:val="345"/>
          <w:tblCellSpacing w:w="7" w:type="dxa"/>
        </w:trPr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CE028C" w:rsidRPr="00CE028C" w:rsidRDefault="00C70B38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A52A2A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>GENEL 1042 İYOT TESTİ DEĞERLENDİRMESİ</w:t>
            </w:r>
            <w:r w:rsidR="00D12D12">
              <w:rPr>
                <w:rFonts w:ascii="Verdana" w:eastAsia="Times New Roman" w:hAnsi="Verdana" w:cs="Times New Roman"/>
                <w:b/>
                <w:bCs/>
                <w:color w:val="A52A2A"/>
                <w:sz w:val="16"/>
                <w:szCs w:val="16"/>
                <w:lang w:eastAsia="tr-TR"/>
              </w:rPr>
              <w:t xml:space="preserve"> (CHAUVENET SONRASI)</w:t>
            </w:r>
          </w:p>
        </w:tc>
      </w:tr>
      <w:tr w:rsidR="00CE028C" w:rsidRPr="00CE028C" w:rsidTr="00CE028C">
        <w:trPr>
          <w:trHeight w:val="235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Toplam Sayı: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2,517</w:t>
            </w:r>
          </w:p>
        </w:tc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CE028C" w:rsidRPr="00CE028C" w:rsidTr="00CE028C">
        <w:trPr>
          <w:trHeight w:val="240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Erkek Sayısı: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768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E. Yüz</w:t>
            </w:r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B8B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%30.51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K. Sayısı: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1,749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K. Yüz</w:t>
            </w:r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B8B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%69.49</w:t>
            </w:r>
          </w:p>
        </w:tc>
        <w:tc>
          <w:tcPr>
            <w:tcW w:w="0" w:type="auto"/>
            <w:gridSpan w:val="2"/>
            <w:vMerge w:val="restart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CE028C" w:rsidRPr="00CE028C" w:rsidTr="00CE028C">
        <w:trPr>
          <w:trHeight w:val="244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Gr. Yaş Ort</w:t>
            </w:r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18.54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E.Yaş</w:t>
            </w:r>
            <w:proofErr w:type="spellEnd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 xml:space="preserve"> Ort.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 xml:space="preserve">K. Yaş </w:t>
            </w:r>
            <w:proofErr w:type="spell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</w:t>
            </w:r>
            <w:proofErr w:type="spellEnd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21.70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</w:p>
        </w:tc>
      </w:tr>
      <w:tr w:rsidR="00CE028C" w:rsidRPr="00CE028C" w:rsidTr="00CE028C">
        <w:trPr>
          <w:trHeight w:val="248"/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Ortalama: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14.632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Ortanca: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12.800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Std.Sap</w:t>
            </w:r>
            <w:proofErr w:type="spellEnd"/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9.009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Min. Değ</w:t>
            </w:r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proofErr w:type="spell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Mak</w:t>
            </w:r>
            <w:proofErr w:type="spellEnd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 Değ</w:t>
            </w:r>
            <w:proofErr w:type="gramStart"/>
            <w:r w:rsidRPr="00CE028C">
              <w:rPr>
                <w:rFonts w:ascii="Verdana" w:eastAsia="Times New Roman" w:hAnsi="Verdana" w:cs="Times New Roman"/>
                <w:b/>
                <w:bCs/>
                <w:color w:val="008B8B"/>
                <w:sz w:val="16"/>
                <w:szCs w:val="16"/>
                <w:lang w:eastAsia="tr-TR"/>
              </w:rPr>
              <w:t>.: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E028C" w:rsidRPr="00CE028C" w:rsidRDefault="00CE028C" w:rsidP="00CE028C">
            <w:pPr>
              <w:spacing w:after="0" w:line="240" w:lineRule="auto"/>
              <w:rPr>
                <w:rFonts w:ascii="Verdana" w:eastAsia="Times New Roman" w:hAnsi="Verdana" w:cs="Times New Roman"/>
                <w:color w:val="008B8B"/>
                <w:sz w:val="16"/>
                <w:szCs w:val="16"/>
                <w:lang w:eastAsia="tr-TR"/>
              </w:rPr>
            </w:pPr>
            <w:r w:rsidRPr="00CE028C">
              <w:rPr>
                <w:rFonts w:ascii="Verdana" w:eastAsia="Times New Roman" w:hAnsi="Verdana" w:cs="Times New Roman"/>
                <w:b/>
                <w:bCs/>
                <w:color w:val="FF4500"/>
                <w:sz w:val="16"/>
                <w:szCs w:val="16"/>
                <w:lang w:eastAsia="tr-TR"/>
              </w:rPr>
              <w:t>42.500</w:t>
            </w:r>
          </w:p>
        </w:tc>
      </w:tr>
    </w:tbl>
    <w:p w:rsidR="00C947DA" w:rsidRDefault="00CE028C">
      <w:r>
        <w:rPr>
          <w:noProof/>
          <w:lang w:eastAsia="tr-TR"/>
        </w:rPr>
        <w:drawing>
          <wp:inline distT="0" distB="0" distL="0" distR="0" wp14:anchorId="501C10B3" wp14:editId="065A682A">
            <wp:extent cx="6848475" cy="3888000"/>
            <wp:effectExtent l="0" t="0" r="9525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947DA" w:rsidSect="00F867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F7"/>
    <w:rsid w:val="0001561A"/>
    <w:rsid w:val="0033109E"/>
    <w:rsid w:val="00667DED"/>
    <w:rsid w:val="00780582"/>
    <w:rsid w:val="00C70B38"/>
    <w:rsid w:val="00C947DA"/>
    <w:rsid w:val="00CE028C"/>
    <w:rsid w:val="00D12D12"/>
    <w:rsid w:val="00F44DD9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6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6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.Kadir\Downloads\9410%20%20IYOT%20(&#304;drar)%20(&#304;yon%20kromatografi)%20Degerlendirme%20Sonuclari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.Kadir\Downloads\1042%20%20IYOT%20(Idrar)%20Degerlendirme%20Sonuclari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tr-TR" sz="1200" b="1" i="0" u="none" strike="noStrike" baseline="0">
                <a:effectLst/>
              </a:rPr>
              <a:t>IYOT (İdrar) (İyon kromatografi) DEĞERLENDİRME SONUÇLARI / Şube: Ankara, </a:t>
            </a:r>
            <a:br>
              <a:rPr lang="tr-TR" sz="1200" b="1" i="0" u="none" strike="noStrike" baseline="0">
                <a:effectLst/>
              </a:rPr>
            </a:br>
            <a:r>
              <a:rPr lang="tr-TR" sz="1200" b="1" i="0" u="none" strike="noStrike" baseline="0">
                <a:effectLst/>
              </a:rPr>
              <a:t>Tarih: 01.01.2010-31.12.2010, Yaş Grubu: Tümü, Cinsiyet: Tümü</a:t>
            </a:r>
            <a:endParaRPr lang="tr-TR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Sıklık</c:v>
          </c:tx>
          <c:marker>
            <c:symbol val="none"/>
          </c:marker>
          <c:cat>
            <c:strRef>
              <c:f>'9410  IYOT (İdrar) (İyon kromat'!$M$2:$M$51</c:f>
              <c:strCache>
                <c:ptCount val="5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Diğer</c:v>
                </c:pt>
              </c:strCache>
            </c:strRef>
          </c:cat>
          <c:val>
            <c:numRef>
              <c:f>'9410  IYOT (İdrar) (İyon kromat'!$N$2:$N$51</c:f>
              <c:numCache>
                <c:formatCode>General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13</c:v>
                </c:pt>
                <c:pt idx="4">
                  <c:v>382</c:v>
                </c:pt>
                <c:pt idx="5">
                  <c:v>389</c:v>
                </c:pt>
                <c:pt idx="6">
                  <c:v>356</c:v>
                </c:pt>
                <c:pt idx="7">
                  <c:v>360</c:v>
                </c:pt>
                <c:pt idx="8">
                  <c:v>326</c:v>
                </c:pt>
                <c:pt idx="9">
                  <c:v>342</c:v>
                </c:pt>
                <c:pt idx="10">
                  <c:v>340</c:v>
                </c:pt>
                <c:pt idx="11">
                  <c:v>317</c:v>
                </c:pt>
                <c:pt idx="12">
                  <c:v>324</c:v>
                </c:pt>
                <c:pt idx="13">
                  <c:v>291</c:v>
                </c:pt>
                <c:pt idx="14">
                  <c:v>277</c:v>
                </c:pt>
                <c:pt idx="15">
                  <c:v>276</c:v>
                </c:pt>
                <c:pt idx="16">
                  <c:v>250</c:v>
                </c:pt>
                <c:pt idx="17">
                  <c:v>275</c:v>
                </c:pt>
                <c:pt idx="18">
                  <c:v>251</c:v>
                </c:pt>
                <c:pt idx="19">
                  <c:v>251</c:v>
                </c:pt>
                <c:pt idx="20">
                  <c:v>201</c:v>
                </c:pt>
                <c:pt idx="21">
                  <c:v>199</c:v>
                </c:pt>
                <c:pt idx="22">
                  <c:v>190</c:v>
                </c:pt>
                <c:pt idx="23">
                  <c:v>206</c:v>
                </c:pt>
                <c:pt idx="24">
                  <c:v>160</c:v>
                </c:pt>
                <c:pt idx="25">
                  <c:v>159</c:v>
                </c:pt>
                <c:pt idx="26">
                  <c:v>169</c:v>
                </c:pt>
                <c:pt idx="27">
                  <c:v>144</c:v>
                </c:pt>
                <c:pt idx="28">
                  <c:v>137</c:v>
                </c:pt>
                <c:pt idx="29">
                  <c:v>139</c:v>
                </c:pt>
                <c:pt idx="30">
                  <c:v>141</c:v>
                </c:pt>
                <c:pt idx="31">
                  <c:v>115</c:v>
                </c:pt>
                <c:pt idx="32">
                  <c:v>99</c:v>
                </c:pt>
                <c:pt idx="33">
                  <c:v>120</c:v>
                </c:pt>
                <c:pt idx="34">
                  <c:v>106</c:v>
                </c:pt>
                <c:pt idx="35">
                  <c:v>91</c:v>
                </c:pt>
                <c:pt idx="36">
                  <c:v>68</c:v>
                </c:pt>
                <c:pt idx="37">
                  <c:v>66</c:v>
                </c:pt>
                <c:pt idx="38">
                  <c:v>62</c:v>
                </c:pt>
                <c:pt idx="39">
                  <c:v>73</c:v>
                </c:pt>
                <c:pt idx="40">
                  <c:v>67</c:v>
                </c:pt>
                <c:pt idx="41">
                  <c:v>47</c:v>
                </c:pt>
                <c:pt idx="42">
                  <c:v>60</c:v>
                </c:pt>
                <c:pt idx="43">
                  <c:v>51</c:v>
                </c:pt>
                <c:pt idx="44">
                  <c:v>43</c:v>
                </c:pt>
                <c:pt idx="45">
                  <c:v>38</c:v>
                </c:pt>
                <c:pt idx="46">
                  <c:v>48</c:v>
                </c:pt>
                <c:pt idx="47">
                  <c:v>41</c:v>
                </c:pt>
                <c:pt idx="48">
                  <c:v>25</c:v>
                </c:pt>
                <c:pt idx="4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37408"/>
        <c:axId val="169367168"/>
      </c:lineChart>
      <c:lineChart>
        <c:grouping val="standard"/>
        <c:varyColors val="0"/>
        <c:ser>
          <c:idx val="1"/>
          <c:order val="1"/>
          <c:tx>
            <c:v>%</c:v>
          </c:tx>
          <c:marker>
            <c:symbol val="square"/>
            <c:size val="4"/>
          </c:marker>
          <c:cat>
            <c:strRef>
              <c:f>'9410  IYOT (İdrar) (İyon kromat'!$M$2:$M$51</c:f>
              <c:strCache>
                <c:ptCount val="5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Diğer</c:v>
                </c:pt>
              </c:strCache>
            </c:strRef>
          </c:cat>
          <c:val>
            <c:numRef>
              <c:f>'9410  IYOT (İdrar) (İyon kromat'!$O$2:$O$51</c:f>
              <c:numCache>
                <c:formatCode>0.00%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2.4731049833065413E-4</c:v>
                </c:pt>
                <c:pt idx="3">
                  <c:v>1.8548287374799061E-3</c:v>
                </c:pt>
                <c:pt idx="4">
                  <c:v>4.9091133918634844E-2</c:v>
                </c:pt>
                <c:pt idx="5">
                  <c:v>9.7193025843947081E-2</c:v>
                </c:pt>
                <c:pt idx="6">
                  <c:v>0.14121429454680351</c:v>
                </c:pt>
                <c:pt idx="7">
                  <c:v>0.18573018424632126</c:v>
                </c:pt>
                <c:pt idx="8">
                  <c:v>0.22604179547421788</c:v>
                </c:pt>
                <c:pt idx="9">
                  <c:v>0.26833189068875973</c:v>
                </c:pt>
                <c:pt idx="10">
                  <c:v>0.31037467540497093</c:v>
                </c:pt>
                <c:pt idx="11">
                  <c:v>0.34957338939037963</c:v>
                </c:pt>
                <c:pt idx="12">
                  <c:v>0.38963769011994559</c:v>
                </c:pt>
                <c:pt idx="13">
                  <c:v>0.42562136762705577</c:v>
                </c:pt>
                <c:pt idx="14">
                  <c:v>0.45987387164585136</c:v>
                </c:pt>
                <c:pt idx="15">
                  <c:v>0.49400272041548166</c:v>
                </c:pt>
                <c:pt idx="16">
                  <c:v>0.52491653270681338</c:v>
                </c:pt>
                <c:pt idx="17">
                  <c:v>0.55892172622727831</c:v>
                </c:pt>
                <c:pt idx="18">
                  <c:v>0.58995919376777539</c:v>
                </c:pt>
                <c:pt idx="19">
                  <c:v>0.62099666130827258</c:v>
                </c:pt>
                <c:pt idx="20">
                  <c:v>0.64585136639050322</c:v>
                </c:pt>
                <c:pt idx="21">
                  <c:v>0.67045876097440338</c:v>
                </c:pt>
                <c:pt idx="22">
                  <c:v>0.69395325831581556</c:v>
                </c:pt>
                <c:pt idx="23">
                  <c:v>0.71942623964387287</c:v>
                </c:pt>
                <c:pt idx="24">
                  <c:v>0.73921107951032516</c:v>
                </c:pt>
                <c:pt idx="25">
                  <c:v>0.75887226412761222</c:v>
                </c:pt>
                <c:pt idx="26">
                  <c:v>0.77977000123655249</c:v>
                </c:pt>
                <c:pt idx="27">
                  <c:v>0.79757635711635955</c:v>
                </c:pt>
                <c:pt idx="28">
                  <c:v>0.81451712625200945</c:v>
                </c:pt>
                <c:pt idx="29">
                  <c:v>0.83170520588598984</c:v>
                </c:pt>
                <c:pt idx="30">
                  <c:v>0.84914059601830094</c:v>
                </c:pt>
                <c:pt idx="31">
                  <c:v>0.86336094967231358</c:v>
                </c:pt>
                <c:pt idx="32">
                  <c:v>0.87560281933968098</c:v>
                </c:pt>
                <c:pt idx="33">
                  <c:v>0.89044144923952018</c:v>
                </c:pt>
                <c:pt idx="34">
                  <c:v>0.90354890565104484</c:v>
                </c:pt>
                <c:pt idx="35">
                  <c:v>0.91480153332508962</c:v>
                </c:pt>
                <c:pt idx="36">
                  <c:v>0.9232100902683319</c:v>
                </c:pt>
                <c:pt idx="37">
                  <c:v>0.93137133671324346</c:v>
                </c:pt>
                <c:pt idx="38">
                  <c:v>0.93903796216149371</c:v>
                </c:pt>
                <c:pt idx="39">
                  <c:v>0.94806479535056265</c:v>
                </c:pt>
                <c:pt idx="40">
                  <c:v>0.95634969704463957</c:v>
                </c:pt>
                <c:pt idx="41">
                  <c:v>0.96216149375540994</c:v>
                </c:pt>
                <c:pt idx="42">
                  <c:v>0.96958080870532959</c:v>
                </c:pt>
                <c:pt idx="43">
                  <c:v>0.97588722641276127</c:v>
                </c:pt>
                <c:pt idx="44">
                  <c:v>0.98120440212687032</c:v>
                </c:pt>
                <c:pt idx="45">
                  <c:v>0.98590330159515271</c:v>
                </c:pt>
                <c:pt idx="46">
                  <c:v>0.99183875355508844</c:v>
                </c:pt>
                <c:pt idx="47">
                  <c:v>0.99690861877086678</c:v>
                </c:pt>
                <c:pt idx="48">
                  <c:v>1</c:v>
                </c:pt>
                <c:pt idx="4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61312"/>
        <c:axId val="169367744"/>
      </c:lineChart>
      <c:catAx>
        <c:axId val="13633740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Sonuç</a:t>
                </a:r>
                <a:r>
                  <a:rPr lang="tr-TR" baseline="0"/>
                  <a:t> Aralığı</a:t>
                </a:r>
                <a:endParaRPr lang="tr-TR"/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69367168"/>
        <c:crosses val="autoZero"/>
        <c:auto val="1"/>
        <c:lblAlgn val="ctr"/>
        <c:lblOffset val="100"/>
        <c:noMultiLvlLbl val="0"/>
      </c:catAx>
      <c:valAx>
        <c:axId val="169367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Sıkık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6337408"/>
        <c:crosses val="autoZero"/>
        <c:crossBetween val="between"/>
      </c:valAx>
      <c:valAx>
        <c:axId val="169367744"/>
        <c:scaling>
          <c:orientation val="minMax"/>
        </c:scaling>
        <c:delete val="0"/>
        <c:axPos val="r"/>
        <c:numFmt formatCode="0.00%" sourceLinked="1"/>
        <c:majorTickMark val="out"/>
        <c:minorTickMark val="out"/>
        <c:tickLblPos val="nextTo"/>
        <c:crossAx val="134861312"/>
        <c:crosses val="max"/>
        <c:crossBetween val="between"/>
        <c:minorUnit val="5.000000000000001E-2"/>
      </c:valAx>
      <c:catAx>
        <c:axId val="13486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6936774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tr-TR" sz="1200" b="1" i="0" u="none" strike="noStrike" baseline="0">
                <a:effectLst/>
              </a:rPr>
              <a:t>IYOT (Idrar) DEĞERLENDİRME SONUÇLARI / Şube: Ankara, </a:t>
            </a:r>
            <a:br>
              <a:rPr lang="tr-TR" sz="1200" b="1" i="0" u="none" strike="noStrike" baseline="0">
                <a:effectLst/>
              </a:rPr>
            </a:br>
            <a:r>
              <a:rPr lang="tr-TR" sz="1200" b="1" i="0" u="none" strike="noStrike" baseline="0">
                <a:effectLst/>
              </a:rPr>
              <a:t>Tarih: 01.01.2008-31.12.2010, Yaş Grubu: Tümü, Cinsiyet: Tümü</a:t>
            </a:r>
            <a:endParaRPr lang="tr-TR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Sıklık</c:v>
          </c:tx>
          <c:marker>
            <c:symbol val="none"/>
          </c:marker>
          <c:cat>
            <c:strRef>
              <c:f>'1042  IYOT (Idrar) Degerlendirm'!$L$2:$L$46</c:f>
              <c:strCache>
                <c:ptCount val="4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Diğer</c:v>
                </c:pt>
              </c:strCache>
            </c:strRef>
          </c:cat>
          <c:val>
            <c:numRef>
              <c:f>'1042  IYOT (Idrar) Degerlendirm'!$M$2:$M$46</c:f>
              <c:numCache>
                <c:formatCode>General</c:formatCode>
                <c:ptCount val="45"/>
                <c:pt idx="0">
                  <c:v>0</c:v>
                </c:pt>
                <c:pt idx="1">
                  <c:v>4</c:v>
                </c:pt>
                <c:pt idx="2">
                  <c:v>48</c:v>
                </c:pt>
                <c:pt idx="3">
                  <c:v>68</c:v>
                </c:pt>
                <c:pt idx="4">
                  <c:v>88</c:v>
                </c:pt>
                <c:pt idx="5">
                  <c:v>100</c:v>
                </c:pt>
                <c:pt idx="6">
                  <c:v>110</c:v>
                </c:pt>
                <c:pt idx="7">
                  <c:v>121</c:v>
                </c:pt>
                <c:pt idx="8">
                  <c:v>114</c:v>
                </c:pt>
                <c:pt idx="9">
                  <c:v>113</c:v>
                </c:pt>
                <c:pt idx="10">
                  <c:v>124</c:v>
                </c:pt>
                <c:pt idx="11">
                  <c:v>143</c:v>
                </c:pt>
                <c:pt idx="12">
                  <c:v>131</c:v>
                </c:pt>
                <c:pt idx="13">
                  <c:v>126</c:v>
                </c:pt>
                <c:pt idx="14">
                  <c:v>132</c:v>
                </c:pt>
                <c:pt idx="15">
                  <c:v>111</c:v>
                </c:pt>
                <c:pt idx="16">
                  <c:v>119</c:v>
                </c:pt>
                <c:pt idx="17">
                  <c:v>69</c:v>
                </c:pt>
                <c:pt idx="18">
                  <c:v>94</c:v>
                </c:pt>
                <c:pt idx="19">
                  <c:v>58</c:v>
                </c:pt>
                <c:pt idx="20">
                  <c:v>57</c:v>
                </c:pt>
                <c:pt idx="21">
                  <c:v>37</c:v>
                </c:pt>
                <c:pt idx="22">
                  <c:v>62</c:v>
                </c:pt>
                <c:pt idx="23">
                  <c:v>53</c:v>
                </c:pt>
                <c:pt idx="24">
                  <c:v>54</c:v>
                </c:pt>
                <c:pt idx="25">
                  <c:v>39</c:v>
                </c:pt>
                <c:pt idx="26">
                  <c:v>32</c:v>
                </c:pt>
                <c:pt idx="27">
                  <c:v>25</c:v>
                </c:pt>
                <c:pt idx="28">
                  <c:v>27</c:v>
                </c:pt>
                <c:pt idx="29">
                  <c:v>32</c:v>
                </c:pt>
                <c:pt idx="30">
                  <c:v>20</c:v>
                </c:pt>
                <c:pt idx="31">
                  <c:v>23</c:v>
                </c:pt>
                <c:pt idx="32">
                  <c:v>33</c:v>
                </c:pt>
                <c:pt idx="33">
                  <c:v>18</c:v>
                </c:pt>
                <c:pt idx="34">
                  <c:v>26</c:v>
                </c:pt>
                <c:pt idx="35">
                  <c:v>14</c:v>
                </c:pt>
                <c:pt idx="36">
                  <c:v>20</c:v>
                </c:pt>
                <c:pt idx="37">
                  <c:v>15</c:v>
                </c:pt>
                <c:pt idx="38">
                  <c:v>11</c:v>
                </c:pt>
                <c:pt idx="39">
                  <c:v>12</c:v>
                </c:pt>
                <c:pt idx="40">
                  <c:v>14</c:v>
                </c:pt>
                <c:pt idx="41">
                  <c:v>8</c:v>
                </c:pt>
                <c:pt idx="42">
                  <c:v>8</c:v>
                </c:pt>
                <c:pt idx="43">
                  <c:v>4</c:v>
                </c:pt>
                <c:pt idx="4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62848"/>
        <c:axId val="169366016"/>
      </c:lineChart>
      <c:lineChart>
        <c:grouping val="standard"/>
        <c:varyColors val="0"/>
        <c:ser>
          <c:idx val="1"/>
          <c:order val="1"/>
          <c:tx>
            <c:v>%</c:v>
          </c:tx>
          <c:marker>
            <c:symbol val="square"/>
            <c:size val="4"/>
          </c:marker>
          <c:cat>
            <c:strRef>
              <c:f>'1042  IYOT (Idrar) Degerlendirm'!$L$2:$L$46</c:f>
              <c:strCache>
                <c:ptCount val="4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Diğer</c:v>
                </c:pt>
              </c:strCache>
            </c:strRef>
          </c:cat>
          <c:val>
            <c:numRef>
              <c:f>'1042  IYOT (Idrar) Degerlendirm'!$N$2:$N$46</c:f>
              <c:numCache>
                <c:formatCode>0.00%</c:formatCode>
                <c:ptCount val="45"/>
                <c:pt idx="0">
                  <c:v>0</c:v>
                </c:pt>
                <c:pt idx="1">
                  <c:v>1.5891934843067143E-3</c:v>
                </c:pt>
                <c:pt idx="2">
                  <c:v>2.0659515295987287E-2</c:v>
                </c:pt>
                <c:pt idx="3">
                  <c:v>4.7675804529201428E-2</c:v>
                </c:pt>
                <c:pt idx="4">
                  <c:v>8.2638061183949146E-2</c:v>
                </c:pt>
                <c:pt idx="5">
                  <c:v>0.12236789829161701</c:v>
                </c:pt>
                <c:pt idx="6">
                  <c:v>0.16607071911005164</c:v>
                </c:pt>
                <c:pt idx="7">
                  <c:v>0.21414382201032975</c:v>
                </c:pt>
                <c:pt idx="8">
                  <c:v>0.2594358363130711</c:v>
                </c:pt>
                <c:pt idx="9">
                  <c:v>0.30433055224473582</c:v>
                </c:pt>
                <c:pt idx="10">
                  <c:v>0.35359555025824396</c:v>
                </c:pt>
                <c:pt idx="11">
                  <c:v>0.41040921732220897</c:v>
                </c:pt>
                <c:pt idx="12">
                  <c:v>0.46245530393325385</c:v>
                </c:pt>
                <c:pt idx="13">
                  <c:v>0.51251489868891542</c:v>
                </c:pt>
                <c:pt idx="14">
                  <c:v>0.56495828367103695</c:v>
                </c:pt>
                <c:pt idx="15">
                  <c:v>0.60905840286054824</c:v>
                </c:pt>
                <c:pt idx="16">
                  <c:v>0.65633690901867303</c:v>
                </c:pt>
                <c:pt idx="17">
                  <c:v>0.68375049662296383</c:v>
                </c:pt>
                <c:pt idx="18">
                  <c:v>0.72109654350417163</c:v>
                </c:pt>
                <c:pt idx="19">
                  <c:v>0.744139849026619</c:v>
                </c:pt>
                <c:pt idx="20">
                  <c:v>0.76678585617798967</c:v>
                </c:pt>
                <c:pt idx="21">
                  <c:v>0.7814858959078268</c:v>
                </c:pt>
                <c:pt idx="22">
                  <c:v>0.80611839491458082</c:v>
                </c:pt>
                <c:pt idx="23">
                  <c:v>0.82717520858164484</c:v>
                </c:pt>
                <c:pt idx="24">
                  <c:v>0.84862932061978547</c:v>
                </c:pt>
                <c:pt idx="25">
                  <c:v>0.86412395709177592</c:v>
                </c:pt>
                <c:pt idx="26">
                  <c:v>0.87683750496622959</c:v>
                </c:pt>
                <c:pt idx="27">
                  <c:v>0.88676996424314658</c:v>
                </c:pt>
                <c:pt idx="28">
                  <c:v>0.89749702026221689</c:v>
                </c:pt>
                <c:pt idx="29">
                  <c:v>0.91021056813667067</c:v>
                </c:pt>
                <c:pt idx="30">
                  <c:v>0.9181565355582042</c:v>
                </c:pt>
                <c:pt idx="31">
                  <c:v>0.92729439809296776</c:v>
                </c:pt>
                <c:pt idx="32">
                  <c:v>0.94040524433849826</c:v>
                </c:pt>
                <c:pt idx="33">
                  <c:v>0.94755661501787847</c:v>
                </c:pt>
                <c:pt idx="34">
                  <c:v>0.95788637266587207</c:v>
                </c:pt>
                <c:pt idx="35">
                  <c:v>0.96344854986094552</c:v>
                </c:pt>
                <c:pt idx="36">
                  <c:v>0.97139451728247916</c:v>
                </c:pt>
                <c:pt idx="37">
                  <c:v>0.97735399284862934</c:v>
                </c:pt>
                <c:pt idx="38">
                  <c:v>0.98172427493047276</c:v>
                </c:pt>
                <c:pt idx="39">
                  <c:v>0.9864918553833929</c:v>
                </c:pt>
                <c:pt idx="40">
                  <c:v>0.99205403257846647</c:v>
                </c:pt>
                <c:pt idx="41">
                  <c:v>0.99523241954707986</c:v>
                </c:pt>
                <c:pt idx="42">
                  <c:v>0.99841080651569325</c:v>
                </c:pt>
                <c:pt idx="43">
                  <c:v>1</c:v>
                </c:pt>
                <c:pt idx="4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863872"/>
        <c:axId val="176792128"/>
      </c:lineChart>
      <c:catAx>
        <c:axId val="1348628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Sonuç Aralığı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69366016"/>
        <c:crosses val="autoZero"/>
        <c:auto val="1"/>
        <c:lblAlgn val="ctr"/>
        <c:lblOffset val="100"/>
        <c:noMultiLvlLbl val="0"/>
      </c:catAx>
      <c:valAx>
        <c:axId val="1693660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Sıklık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862848"/>
        <c:crosses val="autoZero"/>
        <c:crossBetween val="between"/>
      </c:valAx>
      <c:valAx>
        <c:axId val="176792128"/>
        <c:scaling>
          <c:orientation val="minMax"/>
        </c:scaling>
        <c:delete val="0"/>
        <c:axPos val="r"/>
        <c:numFmt formatCode="0.00%" sourceLinked="1"/>
        <c:majorTickMark val="out"/>
        <c:minorTickMark val="out"/>
        <c:tickLblPos val="nextTo"/>
        <c:crossAx val="134863872"/>
        <c:crosses val="max"/>
        <c:crossBetween val="between"/>
        <c:minorUnit val="5.000000000000001E-2"/>
      </c:valAx>
      <c:catAx>
        <c:axId val="134863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7679212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A.Kadir</dc:creator>
  <cp:lastModifiedBy>A.Kadir</cp:lastModifiedBy>
  <cp:revision>12</cp:revision>
  <dcterms:created xsi:type="dcterms:W3CDTF">2010-11-02T11:21:00Z</dcterms:created>
  <dcterms:modified xsi:type="dcterms:W3CDTF">2010-11-02T11:47:00Z</dcterms:modified>
</cp:coreProperties>
</file>